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9A498" w14:textId="77777777" w:rsidR="009D2F08" w:rsidRPr="009D2F08" w:rsidRDefault="009D2F08" w:rsidP="009D2F08">
      <w:pPr>
        <w:pStyle w:val="Heading1"/>
        <w:spacing w:afterLines="50" w:after="120" w:line="312" w:lineRule="auto"/>
        <w:ind w:rightChars="30" w:right="84"/>
        <w:jc w:val="center"/>
        <w:rPr>
          <w:rFonts w:ascii="Times New Roman" w:eastAsia="SimSun" w:hAnsi="Times New Roman" w:cs="Times New Roman"/>
          <w:color w:val="auto"/>
          <w:sz w:val="24"/>
          <w:szCs w:val="24"/>
          <w:lang w:val="en-US"/>
          <w14:ligatures w14:val="none"/>
        </w:rPr>
      </w:pPr>
      <w:r w:rsidRPr="009D2F08">
        <w:rPr>
          <w:rFonts w:ascii="Times New Roman" w:eastAsia="SimSun" w:hAnsi="Times New Roman" w:cs="Times New Roman"/>
          <w:color w:val="auto"/>
          <w:sz w:val="24"/>
          <w:szCs w:val="24"/>
          <w:lang w:val="en-US"/>
          <w14:ligatures w14:val="none"/>
        </w:rPr>
        <w:t>ABSTRACT</w:t>
      </w:r>
    </w:p>
    <w:p w14:paraId="320C2C4B" w14:textId="77777777" w:rsidR="009D2F08" w:rsidRDefault="009D2F08" w:rsidP="009D2F08">
      <w:pPr>
        <w:snapToGrid w:val="0"/>
        <w:spacing w:afterLines="50" w:after="120" w:line="312" w:lineRule="auto"/>
        <w:ind w:rightChars="30" w:right="84"/>
        <w:rPr>
          <w:sz w:val="24"/>
        </w:rPr>
      </w:pPr>
      <w:r>
        <w:rPr>
          <w:sz w:val="24"/>
        </w:rPr>
        <w:t xml:space="preserve">Provided are an insertion device, an implantable analyte monitoring </w:t>
      </w:r>
      <w:r>
        <w:rPr>
          <w:rFonts w:hint="eastAsia"/>
          <w:sz w:val="24"/>
        </w:rPr>
        <w:t>device</w:t>
      </w:r>
      <w:r>
        <w:rPr>
          <w:sz w:val="24"/>
        </w:rPr>
        <w:t xml:space="preserve">, and an implantable analyte monitoring system. The insertion device includes a housing assembly, a needle-advancing bracket and a fixing plate that are disposed in the housing assembly, and an </w:t>
      </w:r>
      <w:r>
        <w:rPr>
          <w:rFonts w:hint="eastAsia"/>
          <w:sz w:val="24"/>
        </w:rPr>
        <w:t>insertion needle</w:t>
      </w:r>
      <w:r>
        <w:rPr>
          <w:sz w:val="24"/>
        </w:rPr>
        <w:t xml:space="preserve"> assembly. The needle-advancing bracket includes a sleeve, an accommodating slot, and at least two elastic claws disposed in the sleeve. A slot opening of the accommodating slot and a sleeve opening of the sleeve face away from each other. The accommodating slot is configured to accommodate a sensor assembly. The needle-advancing bracket is </w:t>
      </w:r>
      <w:proofErr w:type="gramStart"/>
      <w:r>
        <w:rPr>
          <w:sz w:val="24"/>
        </w:rPr>
        <w:t>disposed</w:t>
      </w:r>
      <w:proofErr w:type="gramEnd"/>
      <w:r>
        <w:rPr>
          <w:sz w:val="24"/>
        </w:rPr>
        <w:t xml:space="preserve"> in the housing assembly. The needle-advancing bracket is movable along a first direction and is capable of being limited </w:t>
      </w:r>
      <w:proofErr w:type="gramStart"/>
      <w:r>
        <w:rPr>
          <w:sz w:val="24"/>
        </w:rPr>
        <w:t>in</w:t>
      </w:r>
      <w:proofErr w:type="gramEnd"/>
      <w:r>
        <w:rPr>
          <w:sz w:val="24"/>
        </w:rPr>
        <w:t xml:space="preserve"> a first position and a second position in the housing assembly. The </w:t>
      </w:r>
      <w:r>
        <w:rPr>
          <w:rFonts w:hint="eastAsia"/>
          <w:sz w:val="24"/>
        </w:rPr>
        <w:t>actuation button</w:t>
      </w:r>
      <w:r>
        <w:rPr>
          <w:sz w:val="24"/>
        </w:rPr>
        <w:t xml:space="preserve"> on the housing assembly </w:t>
      </w:r>
      <w:proofErr w:type="gramStart"/>
      <w:r>
        <w:rPr>
          <w:sz w:val="24"/>
        </w:rPr>
        <w:t>is capable of separating</w:t>
      </w:r>
      <w:proofErr w:type="gramEnd"/>
      <w:r>
        <w:rPr>
          <w:sz w:val="24"/>
        </w:rPr>
        <w:t xml:space="preserve"> the housing assembly from the needle-</w:t>
      </w:r>
      <w:proofErr w:type="gramStart"/>
      <w:r>
        <w:rPr>
          <w:sz w:val="24"/>
        </w:rPr>
        <w:t>advancing</w:t>
      </w:r>
      <w:proofErr w:type="gramEnd"/>
      <w:r>
        <w:rPr>
          <w:sz w:val="24"/>
        </w:rPr>
        <w:t xml:space="preserve"> bracket. A through hole is provided at the bottom of the sleeve. The fixing plate is capable of being locked to </w:t>
      </w:r>
      <w:proofErr w:type="gramStart"/>
      <w:r>
        <w:rPr>
          <w:sz w:val="24"/>
        </w:rPr>
        <w:t>the at</w:t>
      </w:r>
      <w:proofErr w:type="gramEnd"/>
      <w:r>
        <w:rPr>
          <w:sz w:val="24"/>
        </w:rPr>
        <w:t xml:space="preserve"> least two elastic claws, and the housing assembly </w:t>
      </w:r>
      <w:proofErr w:type="gramStart"/>
      <w:r>
        <w:rPr>
          <w:sz w:val="24"/>
        </w:rPr>
        <w:t>is capable of separating</w:t>
      </w:r>
      <w:proofErr w:type="gramEnd"/>
      <w:r>
        <w:rPr>
          <w:sz w:val="24"/>
        </w:rPr>
        <w:t xml:space="preserve"> the fixing plate from the at least two elastic claws. The </w:t>
      </w:r>
      <w:r>
        <w:rPr>
          <w:rFonts w:hint="eastAsia"/>
          <w:sz w:val="24"/>
        </w:rPr>
        <w:t>insertion needle</w:t>
      </w:r>
      <w:r>
        <w:rPr>
          <w:sz w:val="24"/>
        </w:rPr>
        <w:t xml:space="preserve"> assembly includes a </w:t>
      </w:r>
      <w:r>
        <w:rPr>
          <w:rFonts w:hint="eastAsia"/>
          <w:sz w:val="24"/>
        </w:rPr>
        <w:t>needle hub</w:t>
      </w:r>
      <w:r>
        <w:rPr>
          <w:sz w:val="24"/>
        </w:rPr>
        <w:t xml:space="preserve"> and an </w:t>
      </w:r>
      <w:r>
        <w:rPr>
          <w:rFonts w:hint="eastAsia"/>
          <w:sz w:val="24"/>
        </w:rPr>
        <w:t>insertion needle</w:t>
      </w:r>
      <w:r>
        <w:rPr>
          <w:sz w:val="24"/>
        </w:rPr>
        <w:t xml:space="preserve"> connected to the </w:t>
      </w:r>
      <w:r>
        <w:rPr>
          <w:rFonts w:hint="eastAsia"/>
          <w:sz w:val="24"/>
        </w:rPr>
        <w:t>needle hub</w:t>
      </w:r>
      <w:r>
        <w:rPr>
          <w:sz w:val="24"/>
        </w:rPr>
        <w:t xml:space="preserve">. The </w:t>
      </w:r>
      <w:r>
        <w:rPr>
          <w:rFonts w:hint="eastAsia"/>
          <w:sz w:val="24"/>
        </w:rPr>
        <w:t>needle hub</w:t>
      </w:r>
      <w:r>
        <w:rPr>
          <w:sz w:val="24"/>
        </w:rPr>
        <w:t xml:space="preserve"> is circumferentially clamped between the at least two elastic claws and is </w:t>
      </w:r>
      <w:proofErr w:type="gramStart"/>
      <w:r>
        <w:rPr>
          <w:sz w:val="24"/>
        </w:rPr>
        <w:t>disposed</w:t>
      </w:r>
      <w:proofErr w:type="gramEnd"/>
      <w:r>
        <w:rPr>
          <w:sz w:val="24"/>
        </w:rPr>
        <w:t xml:space="preserve"> between the at least two elastic claws and the bottom of the sleeve. The </w:t>
      </w:r>
      <w:r>
        <w:rPr>
          <w:rFonts w:hint="eastAsia"/>
          <w:sz w:val="24"/>
        </w:rPr>
        <w:t>needle hub</w:t>
      </w:r>
      <w:r>
        <w:rPr>
          <w:sz w:val="24"/>
        </w:rPr>
        <w:t xml:space="preserve"> is movable toward the fixing plate. </w:t>
      </w:r>
    </w:p>
    <w:p w14:paraId="180C0141" w14:textId="77777777" w:rsidR="009D2F08" w:rsidRDefault="009D2F08" w:rsidP="009D2F08">
      <w:pPr>
        <w:snapToGrid w:val="0"/>
        <w:spacing w:afterLines="50" w:after="120" w:line="312" w:lineRule="auto"/>
        <w:ind w:rightChars="30" w:right="84"/>
        <w:rPr>
          <w:sz w:val="24"/>
          <w:lang w:val="en"/>
        </w:rPr>
      </w:pPr>
      <w:r>
        <w:rPr>
          <w:rFonts w:hint="eastAsia"/>
          <w:sz w:val="24"/>
          <w:lang w:val="en"/>
        </w:rPr>
        <w:t>Figure accompanying the abstract: FIG. 1</w:t>
      </w:r>
    </w:p>
    <w:p w14:paraId="5112FA11" w14:textId="77777777" w:rsidR="00F35DBF" w:rsidRPr="009D2F08" w:rsidRDefault="00F35DBF">
      <w:pPr>
        <w:rPr>
          <w:lang w:val="en"/>
        </w:rPr>
      </w:pPr>
    </w:p>
    <w:sectPr w:rsidR="00F35DBF" w:rsidRPr="009D2F0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6ACE3" w14:textId="77777777" w:rsidR="00203C49" w:rsidRDefault="00203C49" w:rsidP="009D2F08">
      <w:r>
        <w:separator/>
      </w:r>
    </w:p>
  </w:endnote>
  <w:endnote w:type="continuationSeparator" w:id="0">
    <w:p w14:paraId="563F6AE6" w14:textId="77777777" w:rsidR="00203C49" w:rsidRDefault="00203C49" w:rsidP="009D2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B5385" w14:textId="77777777" w:rsidR="00203C49" w:rsidRDefault="00203C49" w:rsidP="009D2F08">
      <w:r>
        <w:separator/>
      </w:r>
    </w:p>
  </w:footnote>
  <w:footnote w:type="continuationSeparator" w:id="0">
    <w:p w14:paraId="12E3BD42" w14:textId="77777777" w:rsidR="00203C49" w:rsidRDefault="00203C49" w:rsidP="009D2F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32CCF" w14:textId="77777777" w:rsidR="009D2F08" w:rsidRDefault="009D2F08" w:rsidP="009D2F08">
    <w:pPr>
      <w:pStyle w:val="Header"/>
      <w:wordWrap w:val="0"/>
      <w:jc w:val="right"/>
    </w:pPr>
    <w:r>
      <w:rPr>
        <w:rFonts w:hint="eastAsia"/>
      </w:rPr>
      <w:t>BY26EX02938FGPM-SG</w:t>
    </w:r>
  </w:p>
  <w:p w14:paraId="7A1AC4DB" w14:textId="77777777" w:rsidR="009D2F08" w:rsidRDefault="009D2F08" w:rsidP="009D2F08">
    <w:pPr>
      <w:pStyle w:val="Header"/>
      <w:wordWrap w:val="0"/>
      <w:jc w:val="right"/>
    </w:pPr>
    <w:r>
      <w:t>English translation of PCT</w:t>
    </w:r>
    <w:r>
      <w:rPr>
        <w:rFonts w:hint="eastAsia"/>
      </w:rPr>
      <w:t>/CN2024/132373</w:t>
    </w:r>
  </w:p>
  <w:p w14:paraId="6CFBA536" w14:textId="77777777" w:rsidR="009D2F08" w:rsidRDefault="009D2F08" w:rsidP="009D2F08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F08"/>
    <w:rsid w:val="00203C49"/>
    <w:rsid w:val="00215104"/>
    <w:rsid w:val="003E2D08"/>
    <w:rsid w:val="009D2F08"/>
    <w:rsid w:val="00B77DEC"/>
    <w:rsid w:val="00F35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4AE00"/>
  <w15:chartTrackingRefBased/>
  <w15:docId w15:val="{3F0E0655-85B0-4D16-9B50-6293DFF1D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SG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F08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9D2F08"/>
    <w:pPr>
      <w:keepNext/>
      <w:keepLines/>
      <w:widowControl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SG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2F08"/>
    <w:pPr>
      <w:keepNext/>
      <w:keepLines/>
      <w:widowControl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SG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2F08"/>
    <w:pPr>
      <w:keepNext/>
      <w:keepLines/>
      <w:widowControl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  <w:lang w:val="en-SG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2F08"/>
    <w:pPr>
      <w:keepNext/>
      <w:keepLines/>
      <w:widowControl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lang w:val="en-SG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2F08"/>
    <w:pPr>
      <w:keepNext/>
      <w:keepLines/>
      <w:widowControl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lang w:val="en-SG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2F08"/>
    <w:pPr>
      <w:keepNext/>
      <w:keepLines/>
      <w:widowControl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lang w:val="en-SG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2F08"/>
    <w:pPr>
      <w:keepNext/>
      <w:keepLines/>
      <w:widowControl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lang w:val="en-SG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2F08"/>
    <w:pPr>
      <w:keepNext/>
      <w:keepLines/>
      <w:widowControl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lang w:val="en-SG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2F08"/>
    <w:pPr>
      <w:keepNext/>
      <w:keepLines/>
      <w:widowControl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lang w:val="en-SG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2F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2F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2F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2F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2F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2F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2F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2F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2F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2F08"/>
    <w:pPr>
      <w:widowControl/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SG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D2F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2F08"/>
    <w:pPr>
      <w:widowControl/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  <w:lang w:val="en-SG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D2F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2F08"/>
    <w:pPr>
      <w:widowControl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4"/>
      <w:lang w:val="en-SG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D2F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2F08"/>
    <w:pPr>
      <w:widowControl/>
      <w:spacing w:after="160" w:line="278" w:lineRule="auto"/>
      <w:ind w:left="720"/>
      <w:contextualSpacing/>
      <w:jc w:val="left"/>
    </w:pPr>
    <w:rPr>
      <w:rFonts w:asciiTheme="minorHAnsi" w:eastAsiaTheme="minorEastAsia" w:hAnsiTheme="minorHAnsi" w:cstheme="minorBidi"/>
      <w:sz w:val="24"/>
      <w:lang w:val="en-SG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D2F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2F08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 w:val="24"/>
      <w:lang w:val="en-SG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2F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2F0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nhideWhenUsed/>
    <w:qFormat/>
    <w:rsid w:val="009D2F08"/>
    <w:pPr>
      <w:widowControl/>
      <w:tabs>
        <w:tab w:val="center" w:pos="4513"/>
        <w:tab w:val="right" w:pos="9026"/>
      </w:tabs>
      <w:jc w:val="left"/>
    </w:pPr>
    <w:rPr>
      <w:rFonts w:asciiTheme="minorHAnsi" w:eastAsiaTheme="minorEastAsia" w:hAnsiTheme="minorHAnsi" w:cstheme="minorBidi"/>
      <w:sz w:val="24"/>
      <w:lang w:val="en-SG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9D2F08"/>
  </w:style>
  <w:style w:type="paragraph" w:styleId="Footer">
    <w:name w:val="footer"/>
    <w:basedOn w:val="Normal"/>
    <w:link w:val="FooterChar"/>
    <w:uiPriority w:val="99"/>
    <w:unhideWhenUsed/>
    <w:rsid w:val="009D2F08"/>
    <w:pPr>
      <w:widowControl/>
      <w:tabs>
        <w:tab w:val="center" w:pos="4513"/>
        <w:tab w:val="right" w:pos="9026"/>
      </w:tabs>
      <w:jc w:val="left"/>
    </w:pPr>
    <w:rPr>
      <w:rFonts w:asciiTheme="minorHAnsi" w:eastAsiaTheme="minorEastAsia" w:hAnsiTheme="minorHAnsi" w:cstheme="minorBidi"/>
      <w:sz w:val="24"/>
      <w:lang w:val="en-SG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9D2F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AB4556DC87F4EB4C3819E5CDD9D29" ma:contentTypeVersion="19" ma:contentTypeDescription="Create a new document." ma:contentTypeScope="" ma:versionID="d912828c07397a43692b5d33419171fd">
  <xsd:schema xmlns:xsd="http://www.w3.org/2001/XMLSchema" xmlns:xs="http://www.w3.org/2001/XMLSchema" xmlns:p="http://schemas.microsoft.com/office/2006/metadata/properties" xmlns:ns2="f3b2dedf-f734-4089-bfd4-7a18970b11c7" xmlns:ns3="fbae087e-01f0-4762-9817-6c4665701ca4" targetNamespace="http://schemas.microsoft.com/office/2006/metadata/properties" ma:root="true" ma:fieldsID="ab0d0b73e38adfc48433c19afa241ed4" ns2:_="" ns3:_="">
    <xsd:import namespace="f3b2dedf-f734-4089-bfd4-7a18970b11c7"/>
    <xsd:import namespace="fbae087e-01f0-4762-9817-6c4665701c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b2dedf-f734-4089-bfd4-7a18970b11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237b7d3-016e-4e63-b26a-a2ebbe24b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ae087e-01f0-4762-9817-6c4665701ca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cb06357-7268-4d14-af67-1a093db79f6b}" ma:internalName="TaxCatchAll" ma:showField="CatchAllData" ma:web="fbae087e-01f0-4762-9817-6c4665701c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3b2dedf-f734-4089-bfd4-7a18970b11c7">
      <Terms xmlns="http://schemas.microsoft.com/office/infopath/2007/PartnerControls"/>
    </lcf76f155ced4ddcb4097134ff3c332f>
    <TaxCatchAll xmlns="fbae087e-01f0-4762-9817-6c4665701ca4" xsi:nil="true"/>
  </documentManagement>
</p:properties>
</file>

<file path=customXml/itemProps1.xml><?xml version="1.0" encoding="utf-8"?>
<ds:datastoreItem xmlns:ds="http://schemas.openxmlformats.org/officeDocument/2006/customXml" ds:itemID="{700895C4-18F0-4CCE-93E1-868CCCC0F393}"/>
</file>

<file path=customXml/itemProps2.xml><?xml version="1.0" encoding="utf-8"?>
<ds:datastoreItem xmlns:ds="http://schemas.openxmlformats.org/officeDocument/2006/customXml" ds:itemID="{44F3477E-6756-4E6A-9C6A-7DB4B6DA970A}"/>
</file>

<file path=customXml/itemProps3.xml><?xml version="1.0" encoding="utf-8"?>
<ds:datastoreItem xmlns:ds="http://schemas.openxmlformats.org/officeDocument/2006/customXml" ds:itemID="{2C070275-62BC-4F8B-A037-5C375A4CC44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Horizon IP Support</dc:creator>
  <cp:keywords/>
  <dc:description/>
  <cp:lastModifiedBy>Horizon IP Support</cp:lastModifiedBy>
  <cp:revision>1</cp:revision>
  <dcterms:created xsi:type="dcterms:W3CDTF">2026-03-27T06:44:00Z</dcterms:created>
  <dcterms:modified xsi:type="dcterms:W3CDTF">2026-03-27T06:45:00Z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530c52b4-4eb1-48a4-8d0d-d9e63e671aa3</vt:lpwstr>
  </property>
  <property fmtid="{D5CDD505-2E9C-101B-9397-08002B2CF9AE}" pid="3" name="ContentTypeId">
    <vt:lpwstr>0x010100461AB4556DC87F4EB4C3819E5CDD9D29</vt:lpwstr>
  </property>
</Properties>
</file>